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252525"/>
          <w:spacing w:val="0"/>
          <w:position w:val="0"/>
          <w:sz w:val="24"/>
          <w:u w:val="single"/>
          <w:shd w:fill="auto" w:val="clear"/>
        </w:rPr>
      </w:pPr>
      <w:r>
        <w:rPr>
          <w:rFonts w:ascii="Arial" w:hAnsi="Arial" w:cs="Arial" w:eastAsia="Arial"/>
          <w:b/>
          <w:color w:val="252525"/>
          <w:spacing w:val="0"/>
          <w:position w:val="0"/>
          <w:sz w:val="24"/>
          <w:u w:val="single"/>
          <w:shd w:fill="auto" w:val="clear"/>
        </w:rPr>
        <w:t xml:space="preserve">GDPR Policy and Procedure for </w:t>
      </w:r>
      <w:r>
        <w:rPr>
          <w:rFonts w:ascii="Arial" w:hAnsi="Arial" w:cs="Arial" w:eastAsia="Arial"/>
          <w:b/>
          <w:color w:val="FF0000"/>
          <w:spacing w:val="0"/>
          <w:position w:val="0"/>
          <w:sz w:val="24"/>
          <w:u w:val="single"/>
          <w:shd w:fill="auto" w:val="clear"/>
        </w:rPr>
        <w:t xml:space="preserve">Greenhill Dental Practice</w:t>
      </w:r>
      <w:r>
        <w:rPr>
          <w:rFonts w:ascii="Arial" w:hAnsi="Arial" w:cs="Arial" w:eastAsia="Arial"/>
          <w:b/>
          <w:color w:val="252525"/>
          <w:spacing w:val="0"/>
          <w:position w:val="0"/>
          <w:sz w:val="24"/>
          <w:u w:val="single"/>
          <w:shd w:fill="auto" w:val="clear"/>
        </w:rPr>
        <w:t xml:space="preserve"> (‘the Practice’)</w:t>
      </w:r>
    </w:p>
    <w:p>
      <w:pPr>
        <w:spacing w:before="0" w:after="0" w:line="240"/>
        <w:ind w:right="0" w:left="0" w:firstLine="0"/>
        <w:jc w:val="center"/>
        <w:rPr>
          <w:rFonts w:ascii="Arial" w:hAnsi="Arial" w:cs="Arial" w:eastAsia="Arial"/>
          <w:b/>
          <w:color w:val="252525"/>
          <w:spacing w:val="0"/>
          <w:position w:val="0"/>
          <w:sz w:val="24"/>
          <w:u w:val="single"/>
          <w:shd w:fill="auto" w:val="clear"/>
        </w:rPr>
      </w:pPr>
    </w:p>
    <w:p>
      <w:pPr>
        <w:spacing w:before="0" w:after="0" w:line="240"/>
        <w:ind w:right="0" w:left="0" w:firstLine="0"/>
        <w:jc w:val="center"/>
        <w:rPr>
          <w:rFonts w:ascii="Arial" w:hAnsi="Arial" w:cs="Arial" w:eastAsia="Arial"/>
          <w:b/>
          <w:color w:val="252525"/>
          <w:spacing w:val="0"/>
          <w:position w:val="0"/>
          <w:sz w:val="24"/>
          <w:u w:val="single"/>
          <w:shd w:fill="auto" w:val="clear"/>
        </w:rPr>
      </w:pPr>
    </w:p>
    <w:p>
      <w:pPr>
        <w:spacing w:before="0" w:after="0" w:line="240"/>
        <w:ind w:right="0" w:left="0" w:firstLine="0"/>
        <w:jc w:val="center"/>
        <w:rPr>
          <w:rFonts w:ascii="Arial" w:hAnsi="Arial" w:cs="Arial" w:eastAsia="Arial"/>
          <w:b/>
          <w:color w:val="252525"/>
          <w:spacing w:val="0"/>
          <w:position w:val="0"/>
          <w:sz w:val="24"/>
          <w:u w:val="single"/>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w:t>
      </w:r>
      <w:hyperlink xmlns:r="http://schemas.openxmlformats.org/officeDocument/2006/relationships" r:id="docRId0">
        <w:r>
          <w:rPr>
            <w:rFonts w:ascii="Arial" w:hAnsi="Arial" w:cs="Arial" w:eastAsia="Arial"/>
            <w:color w:val="000000"/>
            <w:spacing w:val="0"/>
            <w:position w:val="0"/>
            <w:sz w:val="22"/>
            <w:u w:val="single"/>
            <w:shd w:fill="auto" w:val="clear"/>
          </w:rPr>
          <w:t xml:space="preserve">Interpretation</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2.</w:t>
      </w:r>
      <w:hyperlink xmlns:r="http://schemas.openxmlformats.org/officeDocument/2006/relationships" r:id="docRId1">
        <w:r>
          <w:rPr>
            <w:rFonts w:ascii="Arial" w:hAnsi="Arial" w:cs="Arial" w:eastAsia="Arial"/>
            <w:color w:val="000000"/>
            <w:spacing w:val="0"/>
            <w:position w:val="0"/>
            <w:sz w:val="22"/>
            <w:u w:val="single"/>
            <w:shd w:fill="auto" w:val="clear"/>
          </w:rPr>
          <w:t xml:space="preserve">Introduction</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3.</w:t>
      </w:r>
      <w:hyperlink xmlns:r="http://schemas.openxmlformats.org/officeDocument/2006/relationships" r:id="docRId2">
        <w:r>
          <w:rPr>
            <w:rFonts w:ascii="Arial" w:hAnsi="Arial" w:cs="Arial" w:eastAsia="Arial"/>
            <w:color w:val="000000"/>
            <w:spacing w:val="0"/>
            <w:position w:val="0"/>
            <w:sz w:val="22"/>
            <w:u w:val="single"/>
            <w:shd w:fill="auto" w:val="clear"/>
          </w:rPr>
          <w:t xml:space="preserve">Scope</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4.</w:t>
      </w:r>
      <w:hyperlink xmlns:r="http://schemas.openxmlformats.org/officeDocument/2006/relationships" r:id="docRId3">
        <w:r>
          <w:rPr>
            <w:rFonts w:ascii="Arial" w:hAnsi="Arial" w:cs="Arial" w:eastAsia="Arial"/>
            <w:color w:val="000000"/>
            <w:spacing w:val="0"/>
            <w:position w:val="0"/>
            <w:sz w:val="22"/>
            <w:u w:val="single"/>
            <w:shd w:fill="auto" w:val="clear"/>
          </w:rPr>
          <w:t xml:space="preserve">Personal data protection principles</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5.</w:t>
      </w:r>
      <w:hyperlink xmlns:r="http://schemas.openxmlformats.org/officeDocument/2006/relationships" r:id="docRId4">
        <w:r>
          <w:rPr>
            <w:rFonts w:ascii="Arial" w:hAnsi="Arial" w:cs="Arial" w:eastAsia="Arial"/>
            <w:color w:val="000000"/>
            <w:spacing w:val="0"/>
            <w:position w:val="0"/>
            <w:sz w:val="22"/>
            <w:u w:val="single"/>
            <w:shd w:fill="auto" w:val="clear"/>
          </w:rPr>
          <w:t xml:space="preserve">Lawfulness, fairness, transparency</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6.</w:t>
      </w:r>
      <w:hyperlink xmlns:r="http://schemas.openxmlformats.org/officeDocument/2006/relationships" r:id="docRId5">
        <w:r>
          <w:rPr>
            <w:rFonts w:ascii="Arial" w:hAnsi="Arial" w:cs="Arial" w:eastAsia="Arial"/>
            <w:color w:val="000000"/>
            <w:spacing w:val="0"/>
            <w:position w:val="0"/>
            <w:sz w:val="22"/>
            <w:u w:val="single"/>
            <w:shd w:fill="auto" w:val="clear"/>
          </w:rPr>
          <w:t xml:space="preserve">Purpose limitation</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7.</w:t>
      </w:r>
      <w:hyperlink xmlns:r="http://schemas.openxmlformats.org/officeDocument/2006/relationships" r:id="docRId6">
        <w:r>
          <w:rPr>
            <w:rFonts w:ascii="Arial" w:hAnsi="Arial" w:cs="Arial" w:eastAsia="Arial"/>
            <w:color w:val="000000"/>
            <w:spacing w:val="0"/>
            <w:position w:val="0"/>
            <w:sz w:val="22"/>
            <w:u w:val="single"/>
            <w:shd w:fill="auto" w:val="clear"/>
          </w:rPr>
          <w:t xml:space="preserve">Data minimisation</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8.</w:t>
      </w:r>
      <w:hyperlink xmlns:r="http://schemas.openxmlformats.org/officeDocument/2006/relationships" r:id="docRId7">
        <w:r>
          <w:rPr>
            <w:rFonts w:ascii="Arial" w:hAnsi="Arial" w:cs="Arial" w:eastAsia="Arial"/>
            <w:color w:val="000000"/>
            <w:spacing w:val="0"/>
            <w:position w:val="0"/>
            <w:sz w:val="22"/>
            <w:u w:val="single"/>
            <w:shd w:fill="auto" w:val="clear"/>
          </w:rPr>
          <w:t xml:space="preserve">Accuracy</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9.</w:t>
      </w:r>
      <w:hyperlink xmlns:r="http://schemas.openxmlformats.org/officeDocument/2006/relationships" r:id="docRId8">
        <w:r>
          <w:rPr>
            <w:rFonts w:ascii="Arial" w:hAnsi="Arial" w:cs="Arial" w:eastAsia="Arial"/>
            <w:color w:val="000000"/>
            <w:spacing w:val="0"/>
            <w:position w:val="0"/>
            <w:sz w:val="22"/>
            <w:u w:val="single"/>
            <w:shd w:fill="auto" w:val="clear"/>
          </w:rPr>
          <w:t xml:space="preserve">Storage limitation</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10.</w:t>
      </w:r>
      <w:hyperlink xmlns:r="http://schemas.openxmlformats.org/officeDocument/2006/relationships" r:id="docRId9">
        <w:r>
          <w:rPr>
            <w:rFonts w:ascii="Arial" w:hAnsi="Arial" w:cs="Arial" w:eastAsia="Arial"/>
            <w:color w:val="000000"/>
            <w:spacing w:val="0"/>
            <w:position w:val="0"/>
            <w:sz w:val="22"/>
            <w:u w:val="single"/>
            <w:shd w:fill="auto" w:val="clear"/>
          </w:rPr>
          <w:t xml:space="preserve">Security integrity and confidentiality</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11.</w:t>
      </w:r>
      <w:hyperlink xmlns:r="http://schemas.openxmlformats.org/officeDocument/2006/relationships" r:id="docRId10">
        <w:r>
          <w:rPr>
            <w:rFonts w:ascii="Arial" w:hAnsi="Arial" w:cs="Arial" w:eastAsia="Arial"/>
            <w:color w:val="000000"/>
            <w:spacing w:val="0"/>
            <w:position w:val="0"/>
            <w:sz w:val="22"/>
            <w:u w:val="single"/>
            <w:shd w:fill="auto" w:val="clear"/>
          </w:rPr>
          <w:t xml:space="preserve">Transfer limitation</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12.</w:t>
      </w:r>
      <w:hyperlink xmlns:r="http://schemas.openxmlformats.org/officeDocument/2006/relationships" r:id="docRId11">
        <w:r>
          <w:rPr>
            <w:rFonts w:ascii="Arial" w:hAnsi="Arial" w:cs="Arial" w:eastAsia="Arial"/>
            <w:color w:val="000000"/>
            <w:spacing w:val="0"/>
            <w:position w:val="0"/>
            <w:sz w:val="22"/>
            <w:u w:val="single"/>
            <w:shd w:fill="auto" w:val="clear"/>
          </w:rPr>
          <w:t xml:space="preserve">Data Subject’s rights and requests</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13.</w:t>
      </w:r>
      <w:hyperlink xmlns:r="http://schemas.openxmlformats.org/officeDocument/2006/relationships" r:id="docRId12">
        <w:r>
          <w:rPr>
            <w:rFonts w:ascii="Arial" w:hAnsi="Arial" w:cs="Arial" w:eastAsia="Arial"/>
            <w:color w:val="000000"/>
            <w:spacing w:val="0"/>
            <w:position w:val="0"/>
            <w:sz w:val="22"/>
            <w:u w:val="single"/>
            <w:shd w:fill="auto" w:val="clear"/>
          </w:rPr>
          <w:t xml:space="preserve">Accountability</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14.</w:t>
      </w:r>
      <w:hyperlink xmlns:r="http://schemas.openxmlformats.org/officeDocument/2006/relationships" r:id="docRId13">
        <w:r>
          <w:rPr>
            <w:rFonts w:ascii="Arial" w:hAnsi="Arial" w:cs="Arial" w:eastAsia="Arial"/>
            <w:color w:val="000000"/>
            <w:spacing w:val="0"/>
            <w:position w:val="0"/>
            <w:sz w:val="22"/>
            <w:u w:val="single"/>
            <w:shd w:fill="auto" w:val="clear"/>
          </w:rPr>
          <w:t xml:space="preserve">Changes to this GDPR Policy and Procedure </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15.</w:t>
      </w:r>
      <w:hyperlink xmlns:r="http://schemas.openxmlformats.org/officeDocument/2006/relationships" r:id="docRId14">
        <w:r>
          <w:rPr>
            <w:rFonts w:ascii="Arial" w:hAnsi="Arial" w:cs="Arial" w:eastAsia="Arial"/>
            <w:color w:val="000000"/>
            <w:spacing w:val="0"/>
            <w:position w:val="0"/>
            <w:sz w:val="22"/>
            <w:u w:val="single"/>
            <w:shd w:fill="auto" w:val="clear"/>
          </w:rPr>
          <w:t xml:space="preserve">Acknowledgement of receipt and review</w:t>
        </w:r>
      </w:hyperlink>
    </w:p>
    <w:p>
      <w:pPr>
        <w:spacing w:before="0" w:after="12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Appendix 1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Privacy Guidelines </w:t>
      </w:r>
    </w:p>
    <w:p>
      <w:pPr>
        <w:spacing w:before="0" w:after="120" w:line="240"/>
        <w:ind w:right="0" w:left="800" w:firstLine="0"/>
        <w:jc w:val="both"/>
        <w:rPr>
          <w:rFonts w:ascii="Arial" w:hAnsi="Arial" w:cs="Arial" w:eastAsia="Arial"/>
          <w:color w:val="000000"/>
          <w:spacing w:val="0"/>
          <w:position w:val="0"/>
          <w:sz w:val="22"/>
          <w:shd w:fill="auto" w:val="clear"/>
        </w:rPr>
      </w:pPr>
    </w:p>
    <w:p>
      <w:pPr>
        <w:spacing w:before="0" w:after="120" w:line="240"/>
        <w:ind w:right="0" w:left="80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May 2018 the EU General Data Protection Regulation (GDPR) replaced the UK Data Protection Act (1998).  This policy reflects the changes introduced.  All Personnel must ensure they understand the changes and ensure they comply with the principles of GDPR at all times.</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 comply with the EU General Data Protection Regulations (GDPR) and the UK Data Protection Act (1998) our Practice has notified the Information Commissioner that personal data and sensitive personal data referring to our Personnel and patients is stored within the Practice.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20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INTERPRETATION</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1.1</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DEFINITIONS:</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Automated Decision-Making (ADM): </w:t>
      </w:r>
      <w:r>
        <w:rPr>
          <w:rFonts w:ascii="Arial" w:hAnsi="Arial" w:cs="Arial" w:eastAsia="Arial"/>
          <w:color w:val="000000"/>
          <w:spacing w:val="0"/>
          <w:position w:val="0"/>
          <w:sz w:val="22"/>
          <w:shd w:fill="auto" w:val="clear"/>
        </w:rPr>
        <w:t xml:space="preserve"> when a decision is made which is based solely on Automated Processing (including profiling) which produces legal effects or significantly affects an individual. The GDPR prohibits Automated Decision-Making (unless certain conditions are met) but not Automated Processing.</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Automated Processing: </w:t>
      </w:r>
      <w:r>
        <w:rPr>
          <w:rFonts w:ascii="Arial" w:hAnsi="Arial" w:cs="Arial" w:eastAsia="Arial"/>
          <w:color w:val="000000"/>
          <w:spacing w:val="0"/>
          <w:position w:val="0"/>
          <w:sz w:val="22"/>
          <w:shd w:fill="auto" w:val="clear"/>
        </w:rPr>
        <w:t xml:space="preserve">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We: </w:t>
      </w:r>
      <w:r>
        <w:rPr>
          <w:rFonts w:ascii="Arial" w:hAnsi="Arial" w:cs="Arial" w:eastAsia="Arial"/>
          <w:color w:val="000000"/>
          <w:spacing w:val="0"/>
          <w:position w:val="0"/>
          <w:sz w:val="22"/>
          <w:shd w:fill="auto" w:val="clear"/>
        </w:rPr>
        <w:t xml:space="preserve">means the </w:t>
      </w:r>
      <w:r>
        <w:rPr>
          <w:rFonts w:ascii="Arial" w:hAnsi="Arial" w:cs="Arial" w:eastAsia="Arial"/>
          <w:color w:val="FF0000"/>
          <w:spacing w:val="0"/>
          <w:position w:val="0"/>
          <w:sz w:val="22"/>
          <w:shd w:fill="auto" w:val="clear"/>
        </w:rPr>
        <w:t xml:space="preserve">Greenhill Dental Practice, 1 Dorchester Road, Weymouth, Dorset, DT47JR</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Practice Personnel: </w:t>
      </w:r>
      <w:r>
        <w:rPr>
          <w:rFonts w:ascii="Arial" w:hAnsi="Arial" w:cs="Arial" w:eastAsia="Arial"/>
          <w:color w:val="000000"/>
          <w:spacing w:val="0"/>
          <w:position w:val="0"/>
          <w:sz w:val="22"/>
          <w:shd w:fill="auto" w:val="clear"/>
        </w:rPr>
        <w:t xml:space="preserve"> all employees, workers, contractors, agency workers, consultants, directors, members and others.</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Consent: </w:t>
      </w:r>
      <w:r>
        <w:rPr>
          <w:rFonts w:ascii="Arial" w:hAnsi="Arial" w:cs="Arial" w:eastAsia="Arial"/>
          <w:color w:val="000000"/>
          <w:spacing w:val="0"/>
          <w:position w:val="0"/>
          <w:sz w:val="22"/>
          <w:shd w:fill="auto" w:val="clear"/>
        </w:rPr>
        <w:t xml:space="preserve"> agreement which must be freely given, specific, informed and be an unambiguous indication of the Data Subject’s wishes by which they, by a statement or by a clear positive action, signifies agreement to the Processing of Personal Data relating to them.</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Data Controller: </w:t>
      </w:r>
      <w:r>
        <w:rPr>
          <w:rFonts w:ascii="Arial" w:hAnsi="Arial" w:cs="Arial" w:eastAsia="Arial"/>
          <w:color w:val="000000"/>
          <w:spacing w:val="0"/>
          <w:position w:val="0"/>
          <w:sz w:val="22"/>
          <w:shd w:fill="auto" w:val="clear"/>
        </w:rPr>
        <w:t xml:space="preserve"> this is the Practice.  The Practice determines when, why and how to process Personal Data. It is responsible for establishing practices and policies in line with the GDPR. We are the Data Controller of all Personal Data relating to our Practice Personnel and Personal Data used in our business for our own commercial purposes.</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Data Subject: </w:t>
      </w:r>
      <w:r>
        <w:rPr>
          <w:rFonts w:ascii="Arial" w:hAnsi="Arial" w:cs="Arial" w:eastAsia="Arial"/>
          <w:color w:val="000000"/>
          <w:spacing w:val="0"/>
          <w:position w:val="0"/>
          <w:sz w:val="22"/>
          <w:shd w:fill="auto" w:val="clear"/>
        </w:rPr>
        <w:t xml:space="preserve"> a living, identified or identifiable individual about whom we hold Personal Data. Data Subjects may be nationals or residents of any country and may have legal rights regarding their Personal Data.</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Data Privacy Impact Assessment (DPIA): </w:t>
      </w:r>
      <w:r>
        <w:rPr>
          <w:rFonts w:ascii="Arial" w:hAnsi="Arial" w:cs="Arial" w:eastAsia="Arial"/>
          <w:color w:val="000000"/>
          <w:spacing w:val="0"/>
          <w:position w:val="0"/>
          <w:sz w:val="22"/>
          <w:shd w:fill="auto" w:val="clear"/>
        </w:rPr>
        <w:t xml:space="preserve"> tools and assessments used to identify and reduce risks of a data processing activity. DPIA can be carried out as part of Privacy by Design and should be conducted for all major system or business change programs involving the Processing of Personal Data.</w:t>
      </w:r>
    </w:p>
    <w:p>
      <w:pPr>
        <w:spacing w:before="200" w:after="200" w:line="240"/>
        <w:ind w:right="0" w:left="0" w:firstLine="0"/>
        <w:jc w:val="both"/>
        <w:rPr>
          <w:rFonts w:ascii="Arial" w:hAnsi="Arial" w:cs="Arial" w:eastAsia="Arial"/>
          <w:color w:val="FF0000"/>
          <w:spacing w:val="0"/>
          <w:position w:val="0"/>
          <w:sz w:val="22"/>
          <w:shd w:fill="auto" w:val="clear"/>
        </w:rPr>
      </w:pPr>
      <w:r>
        <w:rPr>
          <w:rFonts w:ascii="Arial" w:hAnsi="Arial" w:cs="Arial" w:eastAsia="Arial"/>
          <w:b/>
          <w:color w:val="000000"/>
          <w:spacing w:val="0"/>
          <w:position w:val="0"/>
          <w:sz w:val="22"/>
          <w:shd w:fill="auto" w:val="clear"/>
        </w:rPr>
        <w:t xml:space="preserve">Data Protection Officer (DPO):</w:t>
      </w:r>
      <w:r>
        <w:rPr>
          <w:rFonts w:ascii="Arial" w:hAnsi="Arial" w:cs="Arial" w:eastAsia="Arial"/>
          <w:color w:val="000000"/>
          <w:spacing w:val="0"/>
          <w:position w:val="0"/>
          <w:sz w:val="22"/>
          <w:shd w:fill="auto" w:val="clear"/>
        </w:rPr>
        <w:t xml:space="preserve"> the person required to be appointed in specific circumstances under the GDPR. Where a mandatory DPO has not been appointed, this term means a data protection manager or other voluntary appointment of a DPO or refers to the Practice data privacy team with responsibility for data protection compliance. </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EEA: </w:t>
      </w:r>
      <w:r>
        <w:rPr>
          <w:rFonts w:ascii="Arial" w:hAnsi="Arial" w:cs="Arial" w:eastAsia="Arial"/>
          <w:color w:val="000000"/>
          <w:spacing w:val="0"/>
          <w:position w:val="0"/>
          <w:sz w:val="22"/>
          <w:shd w:fill="auto" w:val="clear"/>
        </w:rPr>
        <w:t xml:space="preserve"> the 28 countries in the EU, and Iceland, Liechtenstein and Norway.</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Explicit Consent: </w:t>
      </w:r>
      <w:r>
        <w:rPr>
          <w:rFonts w:ascii="Arial" w:hAnsi="Arial" w:cs="Arial" w:eastAsia="Arial"/>
          <w:color w:val="000000"/>
          <w:spacing w:val="0"/>
          <w:position w:val="0"/>
          <w:sz w:val="22"/>
          <w:shd w:fill="auto" w:val="clear"/>
        </w:rPr>
        <w:t xml:space="preserve"> consent which requires a very clear and specific statement (that is, not just action).</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General Data Protection Regulation (GDPR): </w:t>
      </w:r>
      <w:r>
        <w:rPr>
          <w:rFonts w:ascii="Arial" w:hAnsi="Arial" w:cs="Arial" w:eastAsia="Arial"/>
          <w:color w:val="000000"/>
          <w:spacing w:val="0"/>
          <w:position w:val="0"/>
          <w:sz w:val="22"/>
          <w:shd w:fill="auto" w:val="clear"/>
        </w:rPr>
        <w:t xml:space="preserve">the General Data Protection Regulation (</w:t>
      </w:r>
      <w:r>
        <w:rPr>
          <w:rFonts w:ascii="Arial" w:hAnsi="Arial" w:cs="Arial" w:eastAsia="Arial"/>
          <w:i/>
          <w:color w:val="000000"/>
          <w:spacing w:val="0"/>
          <w:position w:val="0"/>
          <w:sz w:val="22"/>
          <w:shd w:fill="auto" w:val="clear"/>
        </w:rPr>
        <w:t xml:space="preserve">(EU) 2016/679</w:t>
      </w:r>
      <w:r>
        <w:rPr>
          <w:rFonts w:ascii="Arial" w:hAnsi="Arial" w:cs="Arial" w:eastAsia="Arial"/>
          <w:color w:val="000000"/>
          <w:spacing w:val="0"/>
          <w:position w:val="0"/>
          <w:sz w:val="22"/>
          <w:shd w:fill="auto" w:val="clear"/>
        </w:rPr>
        <w:t xml:space="preserve">). Personal Data is subject to the legal safeguards specified in the GDPR.</w:t>
      </w:r>
    </w:p>
    <w:p>
      <w:pPr>
        <w:spacing w:before="200" w:after="20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Personal Data: </w:t>
      </w:r>
      <w:r>
        <w:rPr>
          <w:rFonts w:ascii="Arial" w:hAnsi="Arial" w:cs="Arial" w:eastAsia="Arial"/>
          <w:color w:val="000000"/>
          <w:spacing w:val="0"/>
          <w:position w:val="0"/>
          <w:sz w:val="22"/>
          <w:shd w:fill="auto" w:val="clear"/>
        </w:rPr>
        <w:t xml:space="preserve"> any information identifying a Data Subject or information relating to a Data Subject that we can identify (directly or indirectly) from that data alone or in combination with other identifiers we possess or can reasonably access.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Personal data </w:t>
      </w:r>
      <w:r>
        <w:rPr>
          <w:rFonts w:ascii="Arial" w:hAnsi="Arial" w:cs="Arial" w:eastAsia="Arial"/>
          <w:color w:val="auto"/>
          <w:spacing w:val="0"/>
          <w:position w:val="0"/>
          <w:sz w:val="22"/>
          <w:shd w:fill="auto" w:val="clear"/>
        </w:rPr>
        <w:t xml:space="preserve">is broadly outlined in the Privacy Notice for employees, workers and contractors and also the Privacy Notice for Patients. </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Personal Data Breach: </w:t>
      </w:r>
      <w:r>
        <w:rPr>
          <w:rFonts w:ascii="Arial" w:hAnsi="Arial" w:cs="Arial" w:eastAsia="Arial"/>
          <w:color w:val="000000"/>
          <w:spacing w:val="0"/>
          <w:position w:val="0"/>
          <w:sz w:val="22"/>
          <w:shd w:fill="auto" w:val="clear"/>
        </w:rPr>
        <w:t xml:space="preserve">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Privacy by Design: </w:t>
      </w:r>
      <w:r>
        <w:rPr>
          <w:rFonts w:ascii="Arial" w:hAnsi="Arial" w:cs="Arial" w:eastAsia="Arial"/>
          <w:color w:val="000000"/>
          <w:spacing w:val="0"/>
          <w:position w:val="0"/>
          <w:sz w:val="22"/>
          <w:shd w:fill="auto" w:val="clear"/>
        </w:rPr>
        <w:t xml:space="preserve"> implementing appropriate technical and organisational measures in an effective manner to ensure compliance with the GDPR.</w:t>
      </w:r>
    </w:p>
    <w:p>
      <w:pPr>
        <w:spacing w:before="200" w:after="200" w:line="240"/>
        <w:ind w:right="0" w:left="0" w:firstLine="0"/>
        <w:jc w:val="both"/>
        <w:rPr>
          <w:rFonts w:ascii="Arial" w:hAnsi="Arial" w:cs="Arial" w:eastAsia="Arial"/>
          <w:color w:val="FF0000"/>
          <w:spacing w:val="0"/>
          <w:position w:val="0"/>
          <w:sz w:val="22"/>
          <w:shd w:fill="auto" w:val="clear"/>
        </w:rPr>
      </w:pPr>
      <w:r>
        <w:rPr>
          <w:rFonts w:ascii="Arial" w:hAnsi="Arial" w:cs="Arial" w:eastAsia="Arial"/>
          <w:b/>
          <w:color w:val="auto"/>
          <w:spacing w:val="0"/>
          <w:position w:val="0"/>
          <w:sz w:val="22"/>
          <w:shd w:fill="auto" w:val="clear"/>
        </w:rPr>
        <w:t xml:space="preserve">Privacy Guidelines</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guidelines provided to assist in interpreting and implementing this GDPR Policy and Procedure and Related Policies, available here.</w:t>
      </w:r>
    </w:p>
    <w:p>
      <w:pPr>
        <w:spacing w:before="200" w:after="20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Privacy Notices (also referred to as Fair Processing Notices) or Privacy Policies: </w:t>
      </w:r>
      <w:r>
        <w:rPr>
          <w:rFonts w:ascii="Arial" w:hAnsi="Arial" w:cs="Arial" w:eastAsia="Arial"/>
          <w:color w:val="000000"/>
          <w:spacing w:val="0"/>
          <w:position w:val="0"/>
          <w:sz w:val="22"/>
          <w:shd w:fill="auto" w:val="clear"/>
        </w:rPr>
        <w:t xml:space="preserve"> separate notices setting out information that may be provided to Data Subjects when the Practice collects information about them. These notices may take the form of general privacy statements applicable to a specific group of individuals.  </w:t>
      </w:r>
      <w:r>
        <w:rPr>
          <w:rFonts w:ascii="Arial" w:hAnsi="Arial" w:cs="Arial" w:eastAsia="Arial"/>
          <w:color w:val="auto"/>
          <w:spacing w:val="0"/>
          <w:position w:val="0"/>
          <w:sz w:val="22"/>
          <w:shd w:fill="auto" w:val="clear"/>
        </w:rPr>
        <w:t xml:space="preserve">This is outlined in the Privacy Notice for employees, workers and contractors and a Privacy Notice for Patients. </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Processing or Process: </w:t>
      </w:r>
      <w:r>
        <w:rPr>
          <w:rFonts w:ascii="Arial" w:hAnsi="Arial" w:cs="Arial" w:eastAsia="Arial"/>
          <w:color w:val="000000"/>
          <w:spacing w:val="0"/>
          <w:position w:val="0"/>
          <w:sz w:val="22"/>
          <w:shd w:fill="auto" w:val="clear"/>
        </w:rPr>
        <w:t xml:space="preserve">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Pseudonymisation or Pseudonymised: </w:t>
      </w:r>
      <w:r>
        <w:rPr>
          <w:rFonts w:ascii="Arial" w:hAnsi="Arial" w:cs="Arial" w:eastAsia="Arial"/>
          <w:color w:val="000000"/>
          <w:spacing w:val="0"/>
          <w:position w:val="0"/>
          <w:sz w:val="22"/>
          <w:shd w:fill="auto" w:val="clear"/>
        </w:rPr>
        <w:t xml:space="preserve">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pPr>
        <w:spacing w:before="200" w:after="200" w:line="240"/>
        <w:ind w:right="0" w:left="0" w:firstLine="0"/>
        <w:jc w:val="both"/>
        <w:rPr>
          <w:rFonts w:ascii="Arial" w:hAnsi="Arial" w:cs="Arial" w:eastAsia="Arial"/>
          <w:color w:val="FF0000"/>
          <w:spacing w:val="0"/>
          <w:position w:val="0"/>
          <w:sz w:val="22"/>
          <w:shd w:fill="auto" w:val="clear"/>
        </w:rPr>
      </w:pPr>
      <w:r>
        <w:rPr>
          <w:rFonts w:ascii="Arial" w:hAnsi="Arial" w:cs="Arial" w:eastAsia="Arial"/>
          <w:b/>
          <w:color w:val="000000"/>
          <w:spacing w:val="0"/>
          <w:position w:val="0"/>
          <w:sz w:val="22"/>
          <w:shd w:fill="auto" w:val="clear"/>
        </w:rPr>
        <w:t xml:space="preserve">Related Policies: </w:t>
      </w:r>
      <w:r>
        <w:rPr>
          <w:rFonts w:ascii="Arial" w:hAnsi="Arial" w:cs="Arial" w:eastAsia="Arial"/>
          <w:color w:val="000000"/>
          <w:spacing w:val="0"/>
          <w:position w:val="0"/>
          <w:sz w:val="22"/>
          <w:shd w:fill="auto" w:val="clear"/>
        </w:rPr>
        <w:t xml:space="preserve"> The Practice policies, operating procedures or processes related to this Policy and Procedure </w:t>
      </w:r>
      <w:r>
        <w:rPr>
          <w:rFonts w:ascii="Arial" w:hAnsi="Arial" w:cs="Arial" w:eastAsia="Arial"/>
          <w:color w:val="auto"/>
          <w:spacing w:val="0"/>
          <w:position w:val="0"/>
          <w:sz w:val="22"/>
          <w:shd w:fill="auto" w:val="clear"/>
        </w:rPr>
        <w:t xml:space="preserve">designed to protect Personal Data and also the Privacy Notice for Employees, workers and contractors and the Privacy Notice for Patients.</w:t>
      </w:r>
      <w:r>
        <w:rPr>
          <w:rFonts w:ascii="Arial" w:hAnsi="Arial" w:cs="Arial" w:eastAsia="Arial"/>
          <w:color w:val="FF0000"/>
          <w:spacing w:val="0"/>
          <w:position w:val="0"/>
          <w:sz w:val="22"/>
          <w:shd w:fill="auto" w:val="clear"/>
        </w:rPr>
        <w:t xml:space="preserve"> </w:t>
      </w:r>
    </w:p>
    <w:p>
      <w:pPr>
        <w:spacing w:before="200" w:after="20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Sensitive Personal Data:</w:t>
      </w:r>
      <w:r>
        <w:rPr>
          <w:rFonts w:ascii="Arial" w:hAnsi="Arial" w:cs="Arial" w:eastAsia="Arial"/>
          <w:color w:val="000000"/>
          <w:spacing w:val="0"/>
          <w:position w:val="0"/>
          <w:sz w:val="22"/>
          <w:shd w:fill="auto" w:val="clear"/>
        </w:rP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The Practice also considers the following types of data to be Sensitive Personal Data: </w:t>
      </w:r>
    </w:p>
    <w:p>
      <w:pPr>
        <w:spacing w:before="0" w:after="0" w:line="240"/>
        <w:ind w:right="0" w:left="0" w:firstLine="0"/>
        <w:jc w:val="both"/>
        <w:rPr>
          <w:rFonts w:ascii="Arial" w:hAnsi="Arial" w:cs="Arial" w:eastAsia="Arial"/>
          <w:color w:val="FF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2.</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INTRODUCTION</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This GDPR Policy and Procedure sets out how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will handle the Personal Data of our patients, suppliers, employees, workers and other third parties.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This GDPR Policy and Procedure applies to all Personal Data the Practice processes regardless of the media on which that data is stored or whether it relates to past or present employees, workers, patients, clients or supplier contacts, shareholders, website users or any other Data Subject.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This GDPR Policy and Procedure applies to all Practice Personnel. You must read, understand and comply with this GDPR Policy and Procedure when Processing Personal Data on our behalf and attend training on its requirements. This GDPR Policy and Procedure sets out what we expect from you in order for the Practice to comply with applicable law. Your compliance with this GDPR Policy and Procedure is mandatory. Related Policies and Privacy Guidelines are available to help you interpret and act in accordance with this GDPR Policy and Procedure. You must also comply with all such Related Policies and Privacy Guidelines. Any breach of this GDPR Policy and Procedure may result in disciplinary action.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b/>
          <w:i/>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b/>
          <w:i/>
          <w:color w:val="000000"/>
          <w:spacing w:val="0"/>
          <w:position w:val="0"/>
          <w:sz w:val="22"/>
          <w:shd w:fill="auto" w:val="clear"/>
        </w:rPr>
        <w:t xml:space="preserve">This GDPR Policy and Procedure (together with Related Policies and Privacy Guidelines) is an internal document and cannot be shared with third parties, clients or regulators without prior authorisation from the DPO.</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3.</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SCOPE</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recognise that the correct and lawful treatment of Personal Data will maintain confidence in the Practice and will provide for successful business operations. Protecting the confidentiality and integrity of Personal Data is a critical responsibility that we take seriously at all times. The Practice is exposed to potential fines for failure to comply with the provisions of the GDPR.</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All parties are responsible for ensuring all Practice Personnel comply with this GDPR Policy and Procedure and need to implement appropriate Practice processes, controls and training to ensure such compliance.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DPO is responsible for overseeing this GDPR Policy and Procedure and, as applicable, developing Related Policies and Privacy Guidelines. </w:t>
      </w:r>
      <w:r>
        <w:rPr>
          <w:rFonts w:ascii="Arial" w:hAnsi="Arial" w:cs="Arial" w:eastAsia="Arial"/>
          <w:color w:val="FF0000"/>
          <w:spacing w:val="0"/>
          <w:position w:val="0"/>
          <w:sz w:val="22"/>
          <w:shd w:fill="auto" w:val="clear"/>
        </w:rPr>
        <w:t xml:space="preserve">That post is held by the practice owners; Pete and Zoe Becalick, Mike and Rebecca Bradley.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Please contact the DPO with any questions about the operation of this GDPR Policy and Procedure or the GDPR or if you have any concerns that this GDPR Policy and Procedure is not being or has not been followed. In particular, you must always contact the DPO in the following circumstances: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if you are unsure of the lawful basis which you are relying on to process Personal Data (including the legitimate interests used by the Practice) (see </w:t>
      </w:r>
      <w:r>
        <w:rPr>
          <w:rFonts w:ascii="Arial" w:hAnsi="Arial" w:cs="Arial" w:eastAsia="Arial"/>
          <w:i/>
          <w:color w:val="000000"/>
          <w:spacing w:val="0"/>
          <w:position w:val="0"/>
          <w:sz w:val="22"/>
          <w:shd w:fill="auto" w:val="clear"/>
        </w:rPr>
        <w:t xml:space="preserve">Section [5.1]</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if you need to rely on Consent and/or need to capture Explicit Consent (see </w:t>
      </w:r>
      <w:r>
        <w:rPr>
          <w:rFonts w:ascii="Arial" w:hAnsi="Arial" w:cs="Arial" w:eastAsia="Arial"/>
          <w:i/>
          <w:color w:val="000000"/>
          <w:spacing w:val="0"/>
          <w:position w:val="0"/>
          <w:sz w:val="22"/>
          <w:shd w:fill="auto" w:val="clear"/>
        </w:rPr>
        <w:t xml:space="preserve">Section [5.2]</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if you need to draft Privacy Notices or Fair Processing Notices (see </w:t>
      </w:r>
      <w:r>
        <w:rPr>
          <w:rFonts w:ascii="Arial" w:hAnsi="Arial" w:cs="Arial" w:eastAsia="Arial"/>
          <w:i/>
          <w:color w:val="000000"/>
          <w:spacing w:val="0"/>
          <w:position w:val="0"/>
          <w:sz w:val="22"/>
          <w:shd w:fill="auto" w:val="clear"/>
        </w:rPr>
        <w:t xml:space="preserve">Section [5.3]</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if you are unsure about the retention period for the Personal Data being Processed (see </w:t>
      </w:r>
      <w:r>
        <w:rPr>
          <w:rFonts w:ascii="Arial" w:hAnsi="Arial" w:cs="Arial" w:eastAsia="Arial"/>
          <w:i/>
          <w:color w:val="000000"/>
          <w:spacing w:val="0"/>
          <w:position w:val="0"/>
          <w:sz w:val="22"/>
          <w:shd w:fill="auto" w:val="clear"/>
        </w:rPr>
        <w:t xml:space="preserve">Section [9]</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if you are unsure about what security or other measures you need to implement to protect Personal Data (see </w:t>
      </w:r>
      <w:r>
        <w:rPr>
          <w:rFonts w:ascii="Arial" w:hAnsi="Arial" w:cs="Arial" w:eastAsia="Arial"/>
          <w:i/>
          <w:color w:val="000000"/>
          <w:spacing w:val="0"/>
          <w:position w:val="0"/>
          <w:sz w:val="22"/>
          <w:shd w:fill="auto" w:val="clear"/>
        </w:rPr>
        <w:t xml:space="preserve">Section [10.1]</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w:t>
      </w:r>
      <w:r>
        <w:rPr>
          <w:rFonts w:ascii="Arial" w:hAnsi="Arial" w:cs="Arial" w:eastAsia="Arial"/>
          <w:color w:val="000000"/>
          <w:spacing w:val="0"/>
          <w:position w:val="0"/>
          <w:sz w:val="22"/>
          <w:shd w:fill="auto" w:val="clear"/>
        </w:rPr>
        <w:t xml:space="preserve">  if there has been a Personal Data Breach (</w:t>
      </w:r>
      <w:r>
        <w:rPr>
          <w:rFonts w:ascii="Arial" w:hAnsi="Arial" w:cs="Arial" w:eastAsia="Arial"/>
          <w:i/>
          <w:color w:val="000000"/>
          <w:spacing w:val="0"/>
          <w:position w:val="0"/>
          <w:sz w:val="22"/>
          <w:shd w:fill="auto" w:val="clear"/>
        </w:rPr>
        <w:t xml:space="preserve">Section [10.2]</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w:t>
      </w:r>
      <w:r>
        <w:rPr>
          <w:rFonts w:ascii="Arial" w:hAnsi="Arial" w:cs="Arial" w:eastAsia="Arial"/>
          <w:color w:val="000000"/>
          <w:spacing w:val="0"/>
          <w:position w:val="0"/>
          <w:sz w:val="22"/>
          <w:shd w:fill="auto" w:val="clear"/>
        </w:rPr>
        <w:t xml:space="preserve">  if you are unsure on what basis to transfer Personal Data outside the EEA (see </w:t>
      </w:r>
      <w:r>
        <w:rPr>
          <w:rFonts w:ascii="Arial" w:hAnsi="Arial" w:cs="Arial" w:eastAsia="Arial"/>
          <w:i/>
          <w:color w:val="000000"/>
          <w:spacing w:val="0"/>
          <w:position w:val="0"/>
          <w:sz w:val="22"/>
          <w:shd w:fill="auto" w:val="clear"/>
        </w:rPr>
        <w:t xml:space="preserve">Section [11]</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(h)</w:t>
      </w:r>
      <w:r>
        <w:rPr>
          <w:rFonts w:ascii="Arial" w:hAnsi="Arial" w:cs="Arial" w:eastAsia="Arial"/>
          <w:color w:val="000000"/>
          <w:spacing w:val="0"/>
          <w:position w:val="0"/>
          <w:sz w:val="22"/>
          <w:shd w:fill="auto" w:val="clear"/>
        </w:rPr>
        <w:t xml:space="preserve">  if you need any assistance dealing with any rights invoked by a Data Subject (see </w:t>
      </w:r>
      <w:r>
        <w:rPr>
          <w:rFonts w:ascii="Arial" w:hAnsi="Arial" w:cs="Arial" w:eastAsia="Arial"/>
          <w:i/>
          <w:color w:val="000000"/>
          <w:spacing w:val="0"/>
          <w:position w:val="0"/>
          <w:sz w:val="22"/>
          <w:shd w:fill="auto" w:val="clear"/>
        </w:rPr>
        <w:t xml:space="preserve">Section [12] below</w:t>
      </w:r>
      <w:r>
        <w:rPr>
          <w:rFonts w:ascii="Arial" w:hAnsi="Arial" w:cs="Arial" w:eastAsia="Arial"/>
          <w:color w:val="000000"/>
          <w:spacing w:val="0"/>
          <w:position w:val="0"/>
          <w:sz w:val="22"/>
          <w:shd w:fill="auto" w:val="clear"/>
        </w:rPr>
        <w:t xml:space="preserv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w:t>
      </w:r>
      <w:r>
        <w:rPr>
          <w:rFonts w:ascii="Arial" w:hAnsi="Arial" w:cs="Arial" w:eastAsia="Arial"/>
          <w:color w:val="000000"/>
          <w:spacing w:val="0"/>
          <w:position w:val="0"/>
          <w:sz w:val="22"/>
          <w:shd w:fill="auto" w:val="clear"/>
        </w:rPr>
        <w:t xml:space="preserve">  whenever you are engaging in a significant new, or change in, Processing activity which is likely to require a DPIA (see </w:t>
      </w:r>
      <w:r>
        <w:rPr>
          <w:rFonts w:ascii="Arial" w:hAnsi="Arial" w:cs="Arial" w:eastAsia="Arial"/>
          <w:i/>
          <w:color w:val="000000"/>
          <w:spacing w:val="0"/>
          <w:position w:val="0"/>
          <w:sz w:val="22"/>
          <w:shd w:fill="auto" w:val="clear"/>
        </w:rPr>
        <w:t xml:space="preserve">Section [13.4]</w:t>
      </w:r>
      <w:r>
        <w:rPr>
          <w:rFonts w:ascii="Arial" w:hAnsi="Arial" w:cs="Arial" w:eastAsia="Arial"/>
          <w:color w:val="000000"/>
          <w:spacing w:val="0"/>
          <w:position w:val="0"/>
          <w:sz w:val="22"/>
          <w:shd w:fill="auto" w:val="clear"/>
        </w:rPr>
        <w:t xml:space="preserve"> below) or plan to use Personal Data for purposes others than what it was collected for;</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(j)</w:t>
      </w:r>
      <w:r>
        <w:rPr>
          <w:rFonts w:ascii="Arial" w:hAnsi="Arial" w:cs="Arial" w:eastAsia="Arial"/>
          <w:color w:val="000000"/>
          <w:spacing w:val="0"/>
          <w:position w:val="0"/>
          <w:sz w:val="22"/>
          <w:shd w:fill="auto" w:val="clear"/>
        </w:rPr>
        <w:t xml:space="preserve">  If you plan to undertake any activities involving Automated Processing including profiling or Automated Decision-Making (see </w:t>
      </w:r>
      <w:r>
        <w:rPr>
          <w:rFonts w:ascii="Arial" w:hAnsi="Arial" w:cs="Arial" w:eastAsia="Arial"/>
          <w:i/>
          <w:color w:val="000000"/>
          <w:spacing w:val="0"/>
          <w:position w:val="0"/>
          <w:sz w:val="22"/>
          <w:shd w:fill="auto" w:val="clear"/>
        </w:rPr>
        <w:t xml:space="preserve">Section [13.5]</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(k)</w:t>
      </w:r>
      <w:r>
        <w:rPr>
          <w:rFonts w:ascii="Arial" w:hAnsi="Arial" w:cs="Arial" w:eastAsia="Arial"/>
          <w:color w:val="000000"/>
          <w:spacing w:val="0"/>
          <w:position w:val="0"/>
          <w:sz w:val="22"/>
          <w:shd w:fill="auto" w:val="clear"/>
        </w:rPr>
        <w:t xml:space="preserve">  If you need help complying with applicable law when carrying out direct marketing activities (see </w:t>
      </w:r>
      <w:r>
        <w:rPr>
          <w:rFonts w:ascii="Arial" w:hAnsi="Arial" w:cs="Arial" w:eastAsia="Arial"/>
          <w:i/>
          <w:color w:val="000000"/>
          <w:spacing w:val="0"/>
          <w:position w:val="0"/>
          <w:sz w:val="22"/>
          <w:shd w:fill="auto" w:val="clear"/>
        </w:rPr>
        <w:t xml:space="preserve">Section [13.6] </w:t>
      </w:r>
      <w:r>
        <w:rPr>
          <w:rFonts w:ascii="Arial" w:hAnsi="Arial" w:cs="Arial" w:eastAsia="Arial"/>
          <w:color w:val="000000"/>
          <w:spacing w:val="0"/>
          <w:position w:val="0"/>
          <w:sz w:val="22"/>
          <w:shd w:fill="auto" w:val="clear"/>
        </w:rPr>
        <w:t xml:space="preserve">below); or</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(l)</w:t>
      </w:r>
      <w:r>
        <w:rPr>
          <w:rFonts w:ascii="Arial" w:hAnsi="Arial" w:cs="Arial" w:eastAsia="Arial"/>
          <w:color w:val="000000"/>
          <w:spacing w:val="0"/>
          <w:position w:val="0"/>
          <w:sz w:val="22"/>
          <w:shd w:fill="auto" w:val="clear"/>
        </w:rPr>
        <w:t xml:space="preserve">  if you need help with any contracts or other areas in relation to sharing Personal Data with third parties (including our vendors) (see </w:t>
      </w:r>
      <w:r>
        <w:rPr>
          <w:rFonts w:ascii="Arial" w:hAnsi="Arial" w:cs="Arial" w:eastAsia="Arial"/>
          <w:i/>
          <w:color w:val="000000"/>
          <w:spacing w:val="0"/>
          <w:position w:val="0"/>
          <w:sz w:val="22"/>
          <w:shd w:fill="auto" w:val="clear"/>
        </w:rPr>
        <w:t xml:space="preserve">Section [13.7]</w:t>
      </w:r>
      <w:r>
        <w:rPr>
          <w:rFonts w:ascii="Arial" w:hAnsi="Arial" w:cs="Arial" w:eastAsia="Arial"/>
          <w:color w:val="000000"/>
          <w:spacing w:val="0"/>
          <w:position w:val="0"/>
          <w:sz w:val="22"/>
          <w:shd w:fill="auto" w:val="clear"/>
        </w:rPr>
        <w:t xml:space="preserve"> below).</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4.</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PERSONAL DATA PROTECTION PRINCIPLES</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adhere to the principles relating to Processing of Personal Data set out in the GDPR which require Personal Data to be: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Processed lawfully, fairly and in a transparent manner (Lawfulness, Fairness and Transparency).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Collected only for specified, explicit and legitimate purposes (Purpose Limitation).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Adequate, relevant and limited to what is necessary in relation to the purposes for which it is Processed (Data Minimisation).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Accurate and where necessary kept up to date (Accuracy).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Not kept in a form which permits identification of Data Subjects for longer than is necessary for the purposes for which the data is Processed (Storage Limitation).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w:t>
      </w:r>
      <w:r>
        <w:rPr>
          <w:rFonts w:ascii="Arial" w:hAnsi="Arial" w:cs="Arial" w:eastAsia="Arial"/>
          <w:color w:val="000000"/>
          <w:spacing w:val="0"/>
          <w:position w:val="0"/>
          <w:sz w:val="22"/>
          <w:shd w:fill="auto" w:val="clear"/>
        </w:rPr>
        <w:t xml:space="preserve">  Processed in a manner that ensures its security using appropriate technical and organisational measures to protect against unauthorised or unlawful Processing and against accidental loss, destruction or damage (Security, Integrity and Confidentiality).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w:t>
      </w:r>
      <w:r>
        <w:rPr>
          <w:rFonts w:ascii="Arial" w:hAnsi="Arial" w:cs="Arial" w:eastAsia="Arial"/>
          <w:color w:val="000000"/>
          <w:spacing w:val="0"/>
          <w:position w:val="0"/>
          <w:sz w:val="22"/>
          <w:shd w:fill="auto" w:val="clear"/>
        </w:rPr>
        <w:t xml:space="preserve">  Not transferred to another country without appropriate safeguards being in place (Transfer Limitation).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(h)</w:t>
      </w:r>
      <w:r>
        <w:rPr>
          <w:rFonts w:ascii="Arial" w:hAnsi="Arial" w:cs="Arial" w:eastAsia="Arial"/>
          <w:color w:val="000000"/>
          <w:spacing w:val="0"/>
          <w:position w:val="0"/>
          <w:sz w:val="22"/>
          <w:shd w:fill="auto" w:val="clear"/>
        </w:rPr>
        <w:t xml:space="preserve">  Made available to Data Subjects and Data Subjects allowed to exercise certain rights in relation to their Personal Data (Data Subject’s Rights and Requests).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are responsible for and must be able to demonstrate compliance with the data protection principles listed above (Accountability).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5.</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LAWFULNESS, FAIRNESS, TRANSPARENCY</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5.1</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LAWFULNESS AND FAIRNESS</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Personal data must be Processed lawfully, fairly and in a transparent manner in relation to the Data Subject.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GDPR allows Processing for specific purposes, some of which are set out below:</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the Data Subject has given his or her Consent;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the Processing is necessary for the performance of a contract with the Data Subject;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to meet our legal compliance obligations.;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to protect the Data Subject’s vital interests;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identify and document the legal ground being relied on for each Processing activity in accordance with the Practice’s guidelines on Lawful Basis for Processing Personal Data.</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5.2</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CONSENT</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 Data Controller must only process Personal Data on the basis of one or more of the lawful bases set out in the GDPR, which include Consent.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Unless we can rely on another legal basis of Processing, Explicit Consent is usually required for Processing Sensitive Personal Data, for Automated Decision-Making and for cross border data transfers. Usually we will be relying on another legal basis (and not require Explicit Consent) to Process most types of Sensitive Data. Where Explicit Consent is required, you must issue a Fair Processing Notice to the Data Subject to capture Explicit Consent.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will need to evidence Consent captured and keep records of all Consents so that the Practice can demonstrate compliance with Consent requirements.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5.3</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TRANSPARENCY (NOTIFYING DATA SUBJECTS)</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GDPR requires Data Controllers to provide detailed, specific information to Data Subjects depending on whether the information was collected directly from Data Subjects or from elsewhere. Such information must be provided through appropriate Privacy Notices or Fair Processing Notices which must be concise, transparent, intelligible, easily accessible, and in clear and plain language so that a Data Subject can easily understand them.</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Whenever we collect Personal Data directly from Data Subjects, including for human resources or employment purposes, we must provide the Data Subject with all the information required by the GDPR including the identity of the Data Controller and DPO, how and why we will use, Process, disclose, protect and retain that Personal Data through a Fair Processing Notice which must be presented when the Data Subject first provides the Personal Data..</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When Personal Data is collected indirectly (for example, from a third party or publicly available source), you must provide the Data Subject with all the information required by the GDPR as soon as possible after collecting/receiving the data. You must also check that the Personal Data was collected by the third party in accordance with the GDPR and on a basis which contemplates our proposed Processing of that Personal Data.</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You must comply with the Practice’s guidelines on drafting Privacy Notices/Fair Processing Notices.</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6.</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PURPOSE LIMITATION</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Personal Data must be collected only for specified, explicit and legitimate purposes. It must not be further Processed in any manner incompatible with those purposes.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cannot use Personal Data for new, different or incompatible purposes from that disclosed when it was first obtained unless you have informed the Data Subject of the new purposes and they have Consented where necessary.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7.</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DATA MINIMISATION</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Personal Data must be adequate, relevant and limited to what is necessary in relation to the purposes for which it is Processed.</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may only Process Personal Data when performing your job duties requires it. You cannot Process Personal Data for any reason unrelated to your job duties.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may only collect Personal Data that you require for your job duties: do not collect excessive data. Ensure any Personal Data collected is adequate and relevant for the intended purposes.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ensure that when Personal Data is no longer needed for specified purposes, it is deleted or anonymised in accordance with the Practice’s data retention guidelines.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8.</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ACCURACY</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Personal Data must be accurate and, where necessary, kept up to date. It must be corrected or deleted without delay when inaccurate.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9.</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STORAGE LIMITATION</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Personal Data must not be kept in an identifiable form for longer than is necessary for the purposes for which the data is processed.</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Practice will maintain retention policies and procedures to ensure Personal Data is deleted after a reasonable time for the purposes for which it was being held, unless a law requires such data to be kept for a minimum time. You must comply with the Practice’s guidelines on Data Retention.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will take all reasonable steps to destroy or erase from our systems all Personal Data that we no longer require in accordance with all the Practice’s applicable records retention schedules and policies. This includes requiring third parties to delete such data where applicable.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will ensure Data Subjects are informed of the period for which data is stored and how that period is determined in any applicable Privacy Notice or Fair Processing Notice.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10.</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SECURITY INTEGRITY AND CONFIDENTIALITY</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10.1</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PROTECTING PERSONAL DATA</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Personal Data must be secured by appropriate technical and organisational measures against unauthorised or unlawful Processing, and against accidental loss, destruction or damage.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unauthorised access, use or disclosure.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maintain data security by protecting the confidentiality, integrity and availability of the Personal Data, defined as follows: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Confidentiality means that only people who have a need to know and are authorised to use the Personal Data can access it.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Integrity means that Personal Data is accurate and suitable for the purpose for which it is processed.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Availability means that authorised users are able to access the Personal Data when they need it for authorised purposes.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comply with and not attempt to circumvent the administrative, physical and technical safeguards we implement and maintain in accordance with the GDPR and relevant standards to protect Personal Data.</w:t>
      </w:r>
    </w:p>
    <w:p>
      <w:pPr>
        <w:spacing w:before="0" w:after="0" w:line="240"/>
        <w:ind w:right="0" w:left="80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10.2</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REPORTING A PERSONAL DATA BREACH</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GDPR requires Data Controllers to notify any Personal Data Breach to the applicable regulator and, in certain instances, the Data Subject.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have put in place procedures to deal with any suspected Personal Data Breach and will notify Data Subjects or any applicable regulator where we are legally required to do so.</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If you know or suspect that a Personal Data Breach has occurred, do not attempt to investigate the matter yourself. Immediately contact the person or team designated as the key point of contact for Personal Data Breaches.  This would be the DPO.</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11.</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TRANSFER LIMITATION</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72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GDPR restricts data transfers to countries outside the EEA in order to ensure that the level of data protection afforded to individuals by the GDPR is not undermined. You transfer Personal Data originating in one country across borders when you transmit, send, view or access that data in or to a different country.</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may only transfer Personal Data outside the EEA if one of the following conditions applies: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the European Commission has issued a decision confirming that the country to which we transfer the Personal Data ensures an adequate level of protection for the Data Subjects’ rights and freedoms;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appropriate safeguards are in place such as binding corporate rules (BCR), standard contractual clauses approved by the European Commission, an approved code of conduct or a certification mechanism, a copy of which can be obtained from the DPO;</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the Data Subject has provided Explicit Consent to the proposed transfer after being informed of any potential risks; or</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12.</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DATA SUBJECT’S RIGHTS AND REQUESTS</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Data Subjects have rights when it comes to how we handle their Personal Data. These include rights to:</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withdraw Consent to Processing at any time;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receive certain information about the Data Controller’s Processing activities;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request access to their Personal Data that we hold;</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prevent our use of their Personal Data for direct marketing purposes;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ask us to erase Personal Data if it is no longer necessary in relation to the purposes for which it was collected or Processed or to rectify inaccurate data or to complete incomplete data;</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w:t>
      </w:r>
      <w:r>
        <w:rPr>
          <w:rFonts w:ascii="Arial" w:hAnsi="Arial" w:cs="Arial" w:eastAsia="Arial"/>
          <w:color w:val="000000"/>
          <w:spacing w:val="0"/>
          <w:position w:val="0"/>
          <w:sz w:val="22"/>
          <w:shd w:fill="auto" w:val="clear"/>
        </w:rPr>
        <w:t xml:space="preserve">  restrict Processing in specific circumstances;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w:t>
      </w:r>
      <w:r>
        <w:rPr>
          <w:rFonts w:ascii="Arial" w:hAnsi="Arial" w:cs="Arial" w:eastAsia="Arial"/>
          <w:color w:val="000000"/>
          <w:spacing w:val="0"/>
          <w:position w:val="0"/>
          <w:sz w:val="22"/>
          <w:shd w:fill="auto" w:val="clear"/>
        </w:rPr>
        <w:t xml:space="preserve">  challenge Processing which has been justified on the basis of our legitimate interests or in the public interest;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(h)</w:t>
      </w:r>
      <w:r>
        <w:rPr>
          <w:rFonts w:ascii="Arial" w:hAnsi="Arial" w:cs="Arial" w:eastAsia="Arial"/>
          <w:color w:val="000000"/>
          <w:spacing w:val="0"/>
          <w:position w:val="0"/>
          <w:sz w:val="22"/>
          <w:shd w:fill="auto" w:val="clear"/>
        </w:rPr>
        <w:t xml:space="preserve">  request a copy of an agreement under which Personal Data is transferred outside of the EEA;</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w:t>
      </w:r>
      <w:r>
        <w:rPr>
          <w:rFonts w:ascii="Arial" w:hAnsi="Arial" w:cs="Arial" w:eastAsia="Arial"/>
          <w:color w:val="000000"/>
          <w:spacing w:val="0"/>
          <w:position w:val="0"/>
          <w:sz w:val="22"/>
          <w:shd w:fill="auto" w:val="clear"/>
        </w:rPr>
        <w:t xml:space="preserve">  object to decisions based solely on Automated Processing, including profiling (ADM);</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(j)</w:t>
      </w:r>
      <w:r>
        <w:rPr>
          <w:rFonts w:ascii="Arial" w:hAnsi="Arial" w:cs="Arial" w:eastAsia="Arial"/>
          <w:color w:val="000000"/>
          <w:spacing w:val="0"/>
          <w:position w:val="0"/>
          <w:sz w:val="22"/>
          <w:shd w:fill="auto" w:val="clear"/>
        </w:rPr>
        <w:t xml:space="preserve">  prevent Processing that is likely to cause damage or distress to the Data Subject or anyone else;</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(k)</w:t>
      </w:r>
      <w:r>
        <w:rPr>
          <w:rFonts w:ascii="Arial" w:hAnsi="Arial" w:cs="Arial" w:eastAsia="Arial"/>
          <w:color w:val="000000"/>
          <w:spacing w:val="0"/>
          <w:position w:val="0"/>
          <w:sz w:val="22"/>
          <w:shd w:fill="auto" w:val="clear"/>
        </w:rPr>
        <w:t xml:space="preserve">  be notified of a Personal Data Breach which is likely to result in high risk to their rights and freedoms;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(l)</w:t>
      </w:r>
      <w:r>
        <w:rPr>
          <w:rFonts w:ascii="Arial" w:hAnsi="Arial" w:cs="Arial" w:eastAsia="Arial"/>
          <w:color w:val="000000"/>
          <w:spacing w:val="0"/>
          <w:position w:val="0"/>
          <w:sz w:val="22"/>
          <w:shd w:fill="auto" w:val="clear"/>
        </w:rPr>
        <w:t xml:space="preserve">  make a complaint to the supervisory authority; and</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(m)</w:t>
      </w:r>
      <w:r>
        <w:rPr>
          <w:rFonts w:ascii="Arial" w:hAnsi="Arial" w:cs="Arial" w:eastAsia="Arial"/>
          <w:color w:val="000000"/>
          <w:spacing w:val="0"/>
          <w:position w:val="0"/>
          <w:sz w:val="22"/>
          <w:shd w:fill="auto" w:val="clear"/>
        </w:rPr>
        <w:t xml:space="preserve">  in limited circumstances, receive or ask for their Personal Data to be transferred to a third party in a structured, commonly used and machine readable format.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verify the identity of an individual requesting data under any of the rights listed above (do not allow third parties to persuade you into disclosing Personal Data without proper authorisation).</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immediately forward any Data Subject request you receive to the DPO and comply with the Practice’s Data Subject response process.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ACCOUNTABILITY</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13.1</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must have adequate resources and controls in place to ensure and to document GDPR compliance including:</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appointing a suitably qualified DPO (where necessary) and an executive accountable for data privacy;</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implementing Privacy by Design when Processing Personal Data and completing DPIAs where Processing presents a high risk to rights and freedoms of Data Subjects;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integrating data protection into internal documents including this GDPR Policy and Procedure, Related Policies, Privacy Guidelines, Privacy Notices or Fair Processing Notices;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regularly training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Personnel on the GDPR, this GDPR Policy and Procedure, Related Policies and Privacy Guidelines and data protection matters including, for example, Data Subject’s rights, Consent, legal basis, DPIA and Personal Data Breaches.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must maintain a record of training attendance by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Personnel; and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regularly testing the privacy measures implemented and conducting periodic reviews and audits to assess compliance, including using results of testing to demonstrate compliance improvement effort.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13.2</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RECORD KEEPING</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GDPR requires us to keep full and accurate records of all our data Processing activities.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keep and maintain accurate corporate records reflecting our Processing including records of Data Subjects’ Consents and procedures for obtaining Consents in accordance with the Practice’s record keeping guidelines.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13.3</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TRAINING AND AUDIT</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are required to ensure all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Personnel have undergone adequate training to enable them to comply with data privacy laws. We must also regularly test our systems and processes to assess compliance.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undergo all mandatory data privacy related training and ensure your team undergo similar mandatory training.</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regularly review all the systems and processes under your control to ensure they comply with this GDPR Policy and Procedure and check that adequate governance controls and resources are in place to ensure proper use and protection of Personal Data.</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13.4</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PRIVACY BY DESIGN AND DATA PROTECTION IMPACT ASSESSMENT (DPIA)</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are required to implement Privacy by Design measures when Processing Personal Data by implementing appropriate technical and organisational measures (like Pseudonymisation) in an effective manner, to ensure compliance with data privacy principles.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assess what Privacy by Design measures can be implemented on all programs/systems/processes that Process Personal Data by taking into account the following:</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the state of the art;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the cost of implementation;</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the nature, scope, context and purposes of Processing; and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the risks of varying likelihood and severity for rights and freedoms of Data Subjects posed by the Processing.</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Data controllers must also conduct DPIAs in respect to high risk Processing.</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should conduct a DPIA (and discuss your findings with the DPO) when implementing major system or business change programs involving the Processing of Personal Data including:</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use of new technologies (programs, systems or processes), or changing technologies (programs, systems or processes);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w:t>
      </w:r>
      <w:r>
        <w:rPr>
          <w:rFonts w:ascii="Arial" w:hAnsi="Arial" w:cs="Arial" w:eastAsia="Arial"/>
          <w:color w:val="000000"/>
          <w:spacing w:val="0"/>
          <w:position w:val="0"/>
          <w:sz w:val="22"/>
          <w:shd w:fill="auto" w:val="clear"/>
        </w:rPr>
        <w:t xml:space="preserve">  Automated Processing including profiling and ADM;</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w:t>
      </w:r>
      <w:r>
        <w:rPr>
          <w:rFonts w:ascii="Arial" w:hAnsi="Arial" w:cs="Arial" w:eastAsia="Arial"/>
          <w:color w:val="000000"/>
          <w:spacing w:val="0"/>
          <w:position w:val="0"/>
          <w:sz w:val="22"/>
          <w:shd w:fill="auto" w:val="clear"/>
        </w:rPr>
        <w:t xml:space="preserve">  large scale Processing of Sensitive Data; and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(h)</w:t>
      </w:r>
      <w:r>
        <w:rPr>
          <w:rFonts w:ascii="Arial" w:hAnsi="Arial" w:cs="Arial" w:eastAsia="Arial"/>
          <w:color w:val="000000"/>
          <w:spacing w:val="0"/>
          <w:position w:val="0"/>
          <w:sz w:val="22"/>
          <w:shd w:fill="auto" w:val="clear"/>
        </w:rPr>
        <w:t xml:space="preserve">  large scale, systematic monitoring of a publicly accessible area.</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 DPIA must include: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w:t>
      </w:r>
      <w:r>
        <w:rPr>
          <w:rFonts w:ascii="Arial" w:hAnsi="Arial" w:cs="Arial" w:eastAsia="Arial"/>
          <w:color w:val="000000"/>
          <w:spacing w:val="0"/>
          <w:position w:val="0"/>
          <w:sz w:val="22"/>
          <w:shd w:fill="auto" w:val="clear"/>
        </w:rPr>
        <w:t xml:space="preserve">  a description of the Processing, its purposes and the Data Controller’s legitimate interests if appropriate;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(j)</w:t>
      </w:r>
      <w:r>
        <w:rPr>
          <w:rFonts w:ascii="Arial" w:hAnsi="Arial" w:cs="Arial" w:eastAsia="Arial"/>
          <w:color w:val="000000"/>
          <w:spacing w:val="0"/>
          <w:position w:val="0"/>
          <w:sz w:val="22"/>
          <w:shd w:fill="auto" w:val="clear"/>
        </w:rPr>
        <w:t xml:space="preserve">  an assessment of the necessity and proportionality of the Processing in relation to its purpose;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(k)</w:t>
      </w:r>
      <w:r>
        <w:rPr>
          <w:rFonts w:ascii="Arial" w:hAnsi="Arial" w:cs="Arial" w:eastAsia="Arial"/>
          <w:color w:val="000000"/>
          <w:spacing w:val="0"/>
          <w:position w:val="0"/>
          <w:sz w:val="22"/>
          <w:shd w:fill="auto" w:val="clear"/>
        </w:rPr>
        <w:t xml:space="preserve">  an assessment of the risk to individuals; and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(l)</w:t>
      </w:r>
      <w:r>
        <w:rPr>
          <w:rFonts w:ascii="Arial" w:hAnsi="Arial" w:cs="Arial" w:eastAsia="Arial"/>
          <w:color w:val="000000"/>
          <w:spacing w:val="0"/>
          <w:position w:val="0"/>
          <w:sz w:val="22"/>
          <w:shd w:fill="auto" w:val="clear"/>
        </w:rPr>
        <w:t xml:space="preserve">  the risk mitigation measures in place and demonstration of compliance.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comply with the Practice’s guidelines on DPIA and Privacy by Design.</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13.5 </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AUTOMATED PROCESSING (INCLUDING PROFILING) AND AUTOMATED DECISION-MAKING</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Generally, ADM is prohibited when a decision has a legal or similar significant effect on an individual unless: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a Data Subject has Explicitly Consented;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the Processing is authorised by law; or</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the Processing is necessary for the performance of or entering into a contract.</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If certain types of Sensitive Data are being processed, then grounds (b) or (c) will not be allowed but such Sensitive Data can be Processed where it is necessary (unless less intrusive means can be used) for substantial public interest like fraud prevention.</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must also inform the Data Subject of the logic involved in the decision making or profiling, the significance and envisaged consequences and give the Data Subject the right to request human intervention, express their point of view or challenge the decision.</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 DPIA must be carried out before any Automated Processing (including profiling) or ADM activities are undertaken.</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Where you are involved in any data Processing activity that involves profiling or ADM, you must comply with the Practice’s guidelines on profiling or ADM.</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13.6</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DIRECT MARKETING</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are subject to certain rules and privacy laws when marketing to our customers.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The right to object to direct marketing must be explicitly offered to the Data Subject in an intelligible manner so that it is clearly distinguishable from other information.</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comply with the Practice’s guidelines on direct marketing to customers.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13.7</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SHARING PERSONAL DATA</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Generally, we are not allowed to share Personal Data with third parties unless certain safeguards and contractual arrangements have been put in place.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may only share the Personal Data we hold with another employee, agent or representative of our group (which includes our subsidiaries and our ultimate holding </w:t>
      </w:r>
      <w:r>
        <w:rPr>
          <w:rFonts w:ascii="Arial" w:hAnsi="Arial" w:cs="Arial" w:eastAsia="Arial"/>
          <w:color w:val="FF0000"/>
          <w:spacing w:val="0"/>
          <w:position w:val="0"/>
          <w:sz w:val="22"/>
          <w:shd w:fill="auto" w:val="clear"/>
        </w:rPr>
        <w:t xml:space="preserve">Greenhill Dental Practice </w:t>
      </w:r>
      <w:r>
        <w:rPr>
          <w:rFonts w:ascii="Arial" w:hAnsi="Arial" w:cs="Arial" w:eastAsia="Arial"/>
          <w:color w:val="000000"/>
          <w:spacing w:val="0"/>
          <w:position w:val="0"/>
          <w:sz w:val="22"/>
          <w:shd w:fill="auto" w:val="clear"/>
        </w:rPr>
        <w:t xml:space="preserve">along with its subsidiaries) if the recipient has a job-related need to know the information and the transfer complies with any applicable cross-border transfer restrictions.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may only share the Personal Data we hold with third parties, such as our service providers if:</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  they have a need to know the information for the purposes of providing the contracted services;</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r>
      <w:r>
        <w:rPr>
          <w:rFonts w:ascii="Arial" w:hAnsi="Arial" w:cs="Arial" w:eastAsia="Arial"/>
          <w:color w:val="000000"/>
          <w:spacing w:val="0"/>
          <w:position w:val="0"/>
          <w:sz w:val="22"/>
          <w:shd w:fill="auto" w:val="clear"/>
        </w:rPr>
        <w:t xml:space="preserve">  sharing the Personal Data complies with the Privacy Notice provided to the Data Subject and, if required, the Data Subject’s Consent has been obtained;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 xml:space="preserve">  the third party has agreed to comply with the required data security standards, policies and procedures and put adequate security measures in place;</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 xml:space="preserve">  the transfer complies with any applicable cross border transfer restrictions; and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r>
      <w:r>
        <w:rPr>
          <w:rFonts w:ascii="Arial" w:hAnsi="Arial" w:cs="Arial" w:eastAsia="Arial"/>
          <w:color w:val="000000"/>
          <w:spacing w:val="0"/>
          <w:position w:val="0"/>
          <w:sz w:val="22"/>
          <w:shd w:fill="auto" w:val="clear"/>
        </w:rPr>
        <w:t xml:space="preserve">  a fully executed written contract that contains GDPR approved third party clauses has been obtained.</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80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You must comply with the Practice’s guidelines on sharing data with third parties.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14.</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CHANGES TO THIS GDPR POLICY AND PROCEDURE </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FF0000"/>
          <w:spacing w:val="0"/>
          <w:position w:val="0"/>
          <w:sz w:val="22"/>
          <w:shd w:fill="auto" w:val="clear"/>
        </w:rPr>
      </w:pPr>
      <w:r>
        <w:rPr>
          <w:rFonts w:ascii="Arial" w:hAnsi="Arial" w:cs="Arial" w:eastAsia="Arial"/>
          <w:color w:val="000000"/>
          <w:spacing w:val="0"/>
          <w:position w:val="0"/>
          <w:sz w:val="22"/>
          <w:shd w:fill="auto" w:val="clear"/>
        </w:rPr>
        <w:t xml:space="preserve">    We reserve the right to change this GDPR Policy and Procedure at any time without notice to you, so please check back regularly to obtain the latest copy of this GDPR Policy and Procedure. We last revised this GDPR Policy and Procedure on </w:t>
      </w:r>
      <w:r>
        <w:rPr>
          <w:rFonts w:ascii="Arial" w:hAnsi="Arial" w:cs="Arial" w:eastAsia="Arial"/>
          <w:color w:val="FF0000"/>
          <w:spacing w:val="0"/>
          <w:position w:val="0"/>
          <w:sz w:val="22"/>
          <w:shd w:fill="auto" w:val="clear"/>
        </w:rPr>
        <w:t xml:space="preserve">01/05/18 </w:t>
      </w:r>
      <w:r>
        <w:rPr>
          <w:rFonts w:ascii="Arial" w:hAnsi="Arial" w:cs="Arial" w:eastAsia="Arial"/>
          <w:color w:val="000000"/>
          <w:spacing w:val="0"/>
          <w:position w:val="0"/>
          <w:sz w:val="22"/>
          <w:shd w:fill="auto" w:val="clear"/>
        </w:rPr>
        <w:t xml:space="preserve">and made no changes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15.</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ACKNOWLEDGEMENT OF RECEIPT AND REVIEW</w:t>
      </w: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I acknowledge that on 01/05/18 I received and read a copy of the Practice’s GDPR Policy and Procedure, dated </w:t>
      </w:r>
      <w:r>
        <w:rPr>
          <w:rFonts w:ascii="Arial" w:hAnsi="Arial" w:cs="Arial" w:eastAsia="Arial"/>
          <w:color w:val="FF0000"/>
          <w:spacing w:val="0"/>
          <w:position w:val="0"/>
          <w:sz w:val="22"/>
          <w:shd w:fill="auto" w:val="clear"/>
        </w:rPr>
        <w:t xml:space="preserve">01/05/18 </w:t>
      </w:r>
      <w:r>
        <w:rPr>
          <w:rFonts w:ascii="Arial" w:hAnsi="Arial" w:cs="Arial" w:eastAsia="Arial"/>
          <w:color w:val="000000"/>
          <w:spacing w:val="0"/>
          <w:position w:val="0"/>
          <w:sz w:val="22"/>
          <w:shd w:fill="auto" w:val="clear"/>
        </w:rPr>
        <w:t xml:space="preserve">and understand that I am responsible for knowing and abiding by its terms. I understand that the information in this GDPR Policy and Procedure is intended to help Practice Personnel work together effectively on assigned job responsibilities and assist in the use and protection of Personal Data. This GDPR Policy and Procedure does not set terms or conditions of employment or form part of an employment contract.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Signed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Printed Name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Date ………………………………………………………….</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b/>
          <w:color w:val="50505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Appendix 1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Privacy Guidelines</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Guidelines are designed to outline the practical applications of the GDPR principles in Personnel’s day to day working life.</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Never name, or discuss identifiable information, about a patient or team member outside the practice, including with friends or relatives of the patient or team member.</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patient records securely and confidentially where it is not possible for other patients or individuals to read them. Computers should be locked when not in use. </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paper records in lockable filing cabinets that are locked when the practice is unattended.</w:t>
      </w:r>
    </w:p>
    <w:p>
      <w:pPr>
        <w:numPr>
          <w:ilvl w:val="0"/>
          <w:numId w:val="39"/>
        </w:numPr>
        <w:suppressAutoHyphens w:val="true"/>
        <w:spacing w:before="200" w:after="200" w:line="240"/>
        <w:ind w:right="-201"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give a school information about whether a child attended for an appointment on a particular day.  It should be suggested that the child is asked to obtain the dentist’s signature on his or her appointment card to signify attendance.</w:t>
      </w:r>
    </w:p>
    <w:p>
      <w:pPr>
        <w:numPr>
          <w:ilvl w:val="0"/>
          <w:numId w:val="39"/>
        </w:numPr>
        <w:suppressAutoHyphens w:val="true"/>
        <w:spacing w:before="200" w:after="200" w:line="240"/>
        <w:ind w:right="-198"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provide information about a patient’s appointment record to a patient’s employer.</w:t>
      </w:r>
    </w:p>
    <w:p>
      <w:pPr>
        <w:numPr>
          <w:ilvl w:val="0"/>
          <w:numId w:val="39"/>
        </w:numPr>
        <w:suppressAutoHyphens w:val="true"/>
        <w:spacing w:before="200" w:after="200" w:line="240"/>
        <w:ind w:right="-201"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when talking to a patient on the telephone or in person in a public area, other patients cannot overhear sensitive-information.</w:t>
      </w:r>
    </w:p>
    <w:p>
      <w:pPr>
        <w:numPr>
          <w:ilvl w:val="0"/>
          <w:numId w:val="39"/>
        </w:numPr>
        <w:suppressAutoHyphens w:val="true"/>
        <w:spacing w:before="200" w:after="200" w:line="240"/>
        <w:ind w:right="-201"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discussions about patients do not take place in the practice’s public areas.</w:t>
      </w:r>
    </w:p>
    <w:p>
      <w:pPr>
        <w:numPr>
          <w:ilvl w:val="0"/>
          <w:numId w:val="39"/>
        </w:numPr>
        <w:suppressAutoHyphens w:val="true"/>
        <w:spacing w:before="200" w:after="200" w:line="240"/>
        <w:ind w:right="-201"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messages about a patient’s care are not left with third parties or left on answering machines. A message to call the practice is all that can be left.</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password-protected computer records are backed-up every day, with back-ups stored away from the practice.</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Change your password frequently and do not choose a password that is easy to guess.</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Keep your password secret and do not give it to anyone else at any time.</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the appointment book and day list are not visible to patients or anyone not involved in patient care.</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Never disclose patient information to a third party without consent, including confirming that someone is a patient at the practice or that they have an appointment. This includes disclosure of appointment books, day sheets or computer screens to police officers or Inland Revenue officials, unless on the specific instructions of the dentist.</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 all written communications, including recalls or reminders, in an envelope.</w:t>
      </w:r>
    </w:p>
    <w:p>
      <w:pPr>
        <w:numPr>
          <w:ilvl w:val="0"/>
          <w:numId w:val="39"/>
        </w:numPr>
        <w:suppressAutoHyphens w:val="true"/>
        <w:spacing w:before="200" w:after="20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called upon to demonstrate the practice’s administrative/computer systems do not allow actual patient information to be used.</w:t>
      </w:r>
    </w:p>
    <w:p>
      <w:pPr>
        <w:numPr>
          <w:ilvl w:val="0"/>
          <w:numId w:val="39"/>
        </w:numPr>
        <w:suppressAutoHyphens w:val="true"/>
        <w:spacing w:before="200" w:after="60" w:line="24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if you are sending confidential information, you use a secure method. If you are sending or storing confidential information electronically, you should ensure that it is encrypted.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_anchor_a219661_1" Id="docRId7" Type="http://schemas.openxmlformats.org/officeDocument/2006/relationships/hyperlink" /><Relationship TargetMode="External" Target="#co_anchor_a861137_1" Id="docRId10" Type="http://schemas.openxmlformats.org/officeDocument/2006/relationships/hyperlink" /><Relationship TargetMode="External" Target="#co_anchor_a742193_1" Id="docRId14" Type="http://schemas.openxmlformats.org/officeDocument/2006/relationships/hyperlink" /><Relationship TargetMode="External" Target="#co_anchor_a336128_1" Id="docRId2" Type="http://schemas.openxmlformats.org/officeDocument/2006/relationships/hyperlink" /><Relationship TargetMode="External" Target="#co_anchor_a601633_1" Id="docRId6" Type="http://schemas.openxmlformats.org/officeDocument/2006/relationships/hyperlink" /><Relationship TargetMode="External" Target="#co_anchor_a533055_1" Id="docRId1" Type="http://schemas.openxmlformats.org/officeDocument/2006/relationships/hyperlink" /><Relationship TargetMode="External" Target="#co_anchor_a302513_1" Id="docRId11" Type="http://schemas.openxmlformats.org/officeDocument/2006/relationships/hyperlink" /><Relationship Target="numbering.xml" Id="docRId15" Type="http://schemas.openxmlformats.org/officeDocument/2006/relationships/numbering" /><Relationship TargetMode="External" Target="#co_anchor_a746134_1" Id="docRId5" Type="http://schemas.openxmlformats.org/officeDocument/2006/relationships/hyperlink" /><Relationship TargetMode="External" Target="#co_anchor_a274738_1" Id="docRId9" Type="http://schemas.openxmlformats.org/officeDocument/2006/relationships/hyperlink" /><Relationship TargetMode="External" Target="#co_anchor_a864359_1" Id="docRId0" Type="http://schemas.openxmlformats.org/officeDocument/2006/relationships/hyperlink" /><Relationship TargetMode="External" Target="#co_anchor_a235345_1" Id="docRId12" Type="http://schemas.openxmlformats.org/officeDocument/2006/relationships/hyperlink" /><Relationship Target="styles.xml" Id="docRId16" Type="http://schemas.openxmlformats.org/officeDocument/2006/relationships/styles" /><Relationship TargetMode="External" Target="#co_anchor_a511415_1" Id="docRId4" Type="http://schemas.openxmlformats.org/officeDocument/2006/relationships/hyperlink" /><Relationship TargetMode="External" Target="#co_anchor_a960169_1" Id="docRId8" Type="http://schemas.openxmlformats.org/officeDocument/2006/relationships/hyperlink" /><Relationship TargetMode="External" Target="#co_anchor_a563752_1" Id="docRId13" Type="http://schemas.openxmlformats.org/officeDocument/2006/relationships/hyperlink" /><Relationship TargetMode="External" Target="#co_anchor_a685926_1" Id="docRId3" Type="http://schemas.openxmlformats.org/officeDocument/2006/relationships/hyperlink" /></Relationships>
</file>